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22"/>
          <w:szCs w:val="22"/>
        </w:rPr>
      </w:pPr>
      <w:r>
        <w:rPr>
          <w:rFonts w:cs="Times New Roman" w:ascii="Times New Roman" w:hAnsi="Times New Roman"/>
          <w:caps/>
          <w:sz w:val="22"/>
          <w:szCs w:val="22"/>
        </w:rPr>
        <w:t>Затверджено</w:t>
      </w:r>
    </w:p>
    <w:p>
      <w:pPr>
        <w:pStyle w:val="Normal"/>
        <w:ind w:left="8505" w:hanging="0"/>
        <w:rPr>
          <w:rFonts w:ascii="Times New Roman" w:hAnsi="Times New Roman" w:cs="Times New Roman"/>
          <w:sz w:val="22"/>
          <w:szCs w:val="22"/>
        </w:rPr>
      </w:pPr>
      <w:r>
        <w:rPr>
          <w:rFonts w:cs="Times New Roman" w:ascii="Times New Roman" w:hAnsi="Times New Roman"/>
          <w:sz w:val="22"/>
          <w:szCs w:val="22"/>
        </w:rPr>
        <w:t>Наказ Міністерства фінансів України  від 26.08.2014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t>_______________</w:t>
      </w:r>
      <w:r>
        <w:rPr>
          <w:rFonts w:cs="Times New Roman" w:ascii="Times New Roman" w:hAnsi="Times New Roman"/>
          <w:sz w:val="24"/>
          <w:szCs w:val="24"/>
          <w:u w:val="single"/>
        </w:rPr>
        <w:t>___________________________________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ради____</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від ____________________</w:t>
      </w:r>
      <w:r>
        <w:rPr>
          <w:rFonts w:cs="Times New Roman" w:ascii="Times New Roman" w:hAnsi="Times New Roman"/>
          <w:szCs w:val="28"/>
        </w:rPr>
        <w:t>_____________________</w:t>
        <w:br/>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rPr>
          <w:rFonts w:ascii="Times New Roman" w:hAnsi="Times New Roman" w:cs="Times New Roman"/>
          <w:b/>
          <w:b/>
          <w:szCs w:val="28"/>
        </w:rPr>
      </w:pPr>
      <w:r>
        <w:rPr>
          <w:rFonts w:cs="Times New Roman" w:ascii="Times New Roman" w:hAnsi="Times New Roman"/>
          <w:b/>
          <w:szCs w:val="28"/>
        </w:rPr>
      </w:r>
    </w:p>
    <w:p>
      <w:pPr>
        <w:pStyle w:val="Normal"/>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4"/>
          <w:szCs w:val="24"/>
        </w:rPr>
        <w:t xml:space="preserve">1. </w:t>
      </w:r>
      <w:r>
        <w:rPr>
          <w:rFonts w:cs="Times New Roman" w:ascii="Times New Roman" w:hAnsi="Times New Roman"/>
          <w:color w:val="000000"/>
          <w:sz w:val="24"/>
          <w:szCs w:val="24"/>
          <w:u w:val="single"/>
        </w:rPr>
        <w:t>1100000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головного розпорядника) </w:t>
      </w:r>
    </w:p>
    <w:p>
      <w:pPr>
        <w:pStyle w:val="Normal"/>
        <w:ind w:firstLine="362"/>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pPr>
      <w:r>
        <w:rPr>
          <w:rFonts w:cs="Times New Roman" w:ascii="Times New Roman" w:hAnsi="Times New Roman"/>
          <w:sz w:val="24"/>
          <w:szCs w:val="24"/>
        </w:rPr>
        <w:t xml:space="preserve">2. </w:t>
      </w:r>
      <w:r>
        <w:rPr>
          <w:rFonts w:cs="Times New Roman" w:ascii="Times New Roman" w:hAnsi="Times New Roman"/>
          <w:color w:val="000000"/>
          <w:sz w:val="24"/>
          <w:szCs w:val="24"/>
          <w:u w:val="single"/>
        </w:rPr>
        <w:t>1110000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відповідального виконавця)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b/>
          <w:sz w:val="24"/>
          <w:szCs w:val="24"/>
          <w:u w:val="single"/>
        </w:rPr>
        <w:t>1116080</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u w:val="single"/>
        </w:rPr>
        <w:t>Реалізація державних та місцевих житлових програм</w:t>
      </w:r>
      <w:r>
        <w:rPr>
          <w:rFonts w:cs="Times New Roman" w:ascii="Times New Roman" w:hAnsi="Times New Roman"/>
          <w:b/>
          <w:sz w:val="24"/>
          <w:szCs w:val="24"/>
          <w:u w:val="single"/>
        </w:rPr>
        <w:br/>
      </w:r>
      <w:r>
        <w:rPr>
          <w:rFonts w:cs="Times New Roman" w:ascii="Times New Roman" w:hAnsi="Times New Roman"/>
          <w:sz w:val="24"/>
          <w:szCs w:val="24"/>
        </w:rPr>
        <w:t xml:space="preserve">          (КПКВК МБ) (КФКВК)</w:t>
      </w:r>
      <w:r>
        <w:rPr>
          <w:rFonts w:cs="Times New Roman" w:ascii="Times New Roman" w:hAnsi="Times New Roman"/>
          <w:sz w:val="24"/>
          <w:szCs w:val="24"/>
          <w:vertAlign w:val="superscript"/>
        </w:rPr>
        <w:t>1</w:t>
      </w:r>
      <w:r>
        <w:rPr>
          <w:rFonts w:cs="Times New Roman" w:ascii="Times New Roman" w:hAnsi="Times New Roman"/>
          <w:sz w:val="24"/>
          <w:szCs w:val="24"/>
        </w:rPr>
        <w:t xml:space="preserve">    найменування бюджетної програми)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360" w:hanging="0"/>
        <w:jc w:val="both"/>
        <w:rPr/>
      </w:pPr>
      <w:r>
        <w:rPr>
          <w:rFonts w:cs="Times New Roman" w:ascii="Times New Roman" w:hAnsi="Times New Roman"/>
          <w:sz w:val="24"/>
          <w:szCs w:val="24"/>
        </w:rPr>
        <w:t>4. Обсяг бюджетних призначень/бюджетних асигнувань – 10,920 тис.грн., у тому числі загального фонду</w:t>
      </w:r>
      <w:r>
        <w:rPr>
          <w:rFonts w:cs="Times New Roman" w:ascii="Times New Roman" w:hAnsi="Times New Roman"/>
          <w:sz w:val="24"/>
          <w:szCs w:val="24"/>
          <w:lang w:val="ru-RU"/>
        </w:rPr>
        <w:t>–10,920</w:t>
      </w:r>
      <w:r>
        <w:rPr>
          <w:rFonts w:cs="Times New Roman" w:ascii="Times New Roman" w:hAnsi="Times New Roman"/>
          <w:sz w:val="24"/>
          <w:szCs w:val="24"/>
        </w:rPr>
        <w:t xml:space="preserve"> тис.грн. та спеціального фонду – </w:t>
      </w:r>
      <w:r>
        <w:rPr>
          <w:rFonts w:cs="Times New Roman" w:ascii="Times New Roman" w:hAnsi="Times New Roman"/>
          <w:color w:val="000000"/>
          <w:sz w:val="24"/>
          <w:szCs w:val="24"/>
          <w:lang w:val="ru-RU"/>
        </w:rPr>
        <w:t>0,0</w:t>
      </w:r>
      <w:r>
        <w:rPr>
          <w:rFonts w:cs="Times New Roman" w:ascii="Times New Roman" w:hAnsi="Times New Roman"/>
          <w:sz w:val="24"/>
          <w:szCs w:val="24"/>
        </w:rPr>
        <w:t xml:space="preserve"> тис. грн. </w:t>
      </w:r>
    </w:p>
    <w:p>
      <w:pPr>
        <w:pStyle w:val="Normal"/>
        <w:spacing w:before="0" w:after="12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700" w:hanging="337"/>
        <w:jc w:val="both"/>
        <w:rPr>
          <w:rFonts w:ascii="Times New Roman" w:hAnsi="Times New Roman" w:cs="Times New Roman"/>
          <w:sz w:val="24"/>
          <w:szCs w:val="24"/>
        </w:rPr>
      </w:pPr>
      <w:r>
        <w:rPr>
          <w:rFonts w:cs="Times New Roman" w:ascii="Times New Roman" w:hAnsi="Times New Roman"/>
          <w:sz w:val="24"/>
          <w:szCs w:val="24"/>
        </w:rPr>
        <w:t xml:space="preserve">5. Підстави для виконання бюджетної програми: Конституція України; Бюджетний кодекс; Закон «Про місцеве самоврядування в Україні»; Положення про управління молоді та спорту Хмельницької міської ради», Комплексна Програма </w:t>
      </w:r>
      <w:r>
        <w:rPr>
          <w:rFonts w:cs="Times New Roman" w:ascii="Times New Roman" w:hAnsi="Times New Roman"/>
          <w:bCs/>
          <w:color w:val="000000"/>
          <w:sz w:val="24"/>
          <w:szCs w:val="24"/>
        </w:rPr>
        <w:t xml:space="preserve">реалізації  молодіжної політики та розвитку фізичної культури і спорту у м. Хмельницькому на 2017-2021 роки, </w:t>
      </w:r>
      <w:r>
        <w:rPr>
          <w:rFonts w:cs="Times New Roman" w:ascii="Times New Roman" w:hAnsi="Times New Roman"/>
          <w:sz w:val="24"/>
          <w:szCs w:val="24"/>
        </w:rPr>
        <w:t>Рішення сесії Хмельницької міської ради  від “27” грудня 2017 року №8  “Про бюджет міста  Хмельницького на 2018 рік”.</w:t>
      </w:r>
    </w:p>
    <w:p>
      <w:pPr>
        <w:pStyle w:val="Normal"/>
        <w:spacing w:before="0" w:after="120"/>
        <w:ind w:firstLine="36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firstLine="363"/>
        <w:jc w:val="both"/>
        <w:rPr>
          <w:rFonts w:ascii="Times New Roman" w:hAnsi="Times New Roman" w:cs="Times New Roman"/>
          <w:color w:val="000000"/>
          <w:sz w:val="24"/>
          <w:szCs w:val="24"/>
          <w:lang w:eastAsia="uk-UA"/>
        </w:rPr>
      </w:pPr>
      <w:r>
        <w:rPr>
          <w:rFonts w:cs="Times New Roman" w:ascii="Times New Roman" w:hAnsi="Times New Roman"/>
          <w:sz w:val="24"/>
          <w:szCs w:val="24"/>
        </w:rPr>
        <w:t>6. Мета бюджетної програми: з</w:t>
      </w:r>
      <w:r>
        <w:rPr>
          <w:rFonts w:cs="Times New Roman" w:ascii="Times New Roman" w:hAnsi="Times New Roman"/>
          <w:color w:val="000000"/>
          <w:sz w:val="24"/>
          <w:szCs w:val="24"/>
          <w:lang w:eastAsia="uk-UA"/>
        </w:rPr>
        <w:t>абезпечення можливості будівництва та придбання житла окремим  категоріями громадян.</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20"/>
        <w:jc w:val="both"/>
        <w:rPr/>
      </w:pPr>
      <w:r>
        <w:rPr>
          <w:rFonts w:cs="Times New Roman" w:ascii="Times New Roman" w:hAnsi="Times New Roman"/>
          <w:sz w:val="24"/>
          <w:szCs w:val="24"/>
        </w:rPr>
        <w:t xml:space="preserve">      </w:t>
      </w:r>
      <w:r>
        <w:rPr>
          <w:rFonts w:cs="Times New Roman" w:ascii="Times New Roman" w:hAnsi="Times New Roman"/>
          <w:sz w:val="24"/>
          <w:szCs w:val="24"/>
        </w:rPr>
        <w:t>7. Підпрограми</w:t>
      </w:r>
      <w:r>
        <w:rPr/>
        <w:t>, спрямовані на досягнення мети, визначеної паспортом бюджетної програми</w:t>
      </w:r>
    </w:p>
    <w:tbl>
      <w:tblPr>
        <w:tblW w:w="11226"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7668"/>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КФКВК</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920"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1116084</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0610</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4"/>
                <w:szCs w:val="24"/>
              </w:rPr>
            </w:pPr>
            <w:r>
              <w:rPr>
                <w:rFonts w:cs="Times New Roman" w:ascii="Times New Roman" w:hAnsi="Times New Roman"/>
                <w:sz w:val="24"/>
                <w:szCs w:val="24"/>
              </w:rP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r>
    </w:tbl>
    <w:p>
      <w:pPr>
        <w:pStyle w:val="Normal"/>
        <w:ind w:firstLine="363"/>
        <w:rPr>
          <w:rFonts w:ascii="Times New Roman" w:hAnsi="Times New Roman" w:cs="Times New Roman"/>
          <w:sz w:val="24"/>
          <w:szCs w:val="24"/>
        </w:rPr>
      </w:pPr>
      <w:r>
        <w:rPr>
          <w:rFonts w:cs="Times New Roman" w:ascii="Times New Roman" w:hAnsi="Times New Roman"/>
          <w:sz w:val="24"/>
          <w:szCs w:val="24"/>
        </w:rPr>
      </w:r>
    </w:p>
    <w:p>
      <w:pPr>
        <w:pStyle w:val="Normal"/>
        <w:ind w:firstLine="363"/>
        <w:rPr>
          <w:rFonts w:ascii="Times New Roman" w:hAnsi="Times New Roman" w:cs="Times New Roman"/>
          <w:sz w:val="24"/>
          <w:szCs w:val="24"/>
        </w:rPr>
      </w:pPr>
      <w:r>
        <w:rPr>
          <w:rFonts w:cs="Times New Roman" w:ascii="Times New Roman" w:hAnsi="Times New Roman"/>
          <w:sz w:val="24"/>
          <w:szCs w:val="24"/>
        </w:rPr>
      </w:r>
    </w:p>
    <w:p>
      <w:pPr>
        <w:pStyle w:val="Normal"/>
        <w:ind w:firstLine="363"/>
        <w:rPr>
          <w:rFonts w:ascii="Times New Roman" w:hAnsi="Times New Roman" w:cs="Times New Roman"/>
          <w:sz w:val="24"/>
          <w:szCs w:val="24"/>
        </w:rPr>
      </w:pPr>
      <w:r>
        <w:rPr>
          <w:rFonts w:cs="Times New Roman" w:ascii="Times New Roman" w:hAnsi="Times New Roman"/>
          <w:sz w:val="24"/>
          <w:szCs w:val="24"/>
        </w:rPr>
        <w:t xml:space="preserve">8. Обсяги фінансування бюджетної програми у розрізі підпрограм та завдань                                                                                       (тис. грн) </w:t>
      </w:r>
    </w:p>
    <w:p>
      <w:pPr>
        <w:pStyle w:val="Normal"/>
        <w:ind w:firstLine="363"/>
        <w:rPr>
          <w:rFonts w:ascii="Times New Roman" w:hAnsi="Times New Roman" w:cs="Times New Roman"/>
          <w:sz w:val="24"/>
          <w:szCs w:val="24"/>
        </w:rPr>
      </w:pPr>
      <w:r>
        <w:rPr>
          <w:rFonts w:cs="Times New Roman" w:ascii="Times New Roman" w:hAnsi="Times New Roman"/>
          <w:sz w:val="24"/>
          <w:szCs w:val="24"/>
        </w:rPr>
      </w:r>
    </w:p>
    <w:tbl>
      <w:tblPr>
        <w:tblW w:w="15147"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260"/>
        <w:gridCol w:w="1410"/>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4"/>
                <w:szCs w:val="24"/>
              </w:rPr>
            </w:pPr>
            <w:r>
              <w:rPr>
                <w:rFonts w:cs="Times New Roman" w:ascii="Times New Roman" w:hAnsi="Times New Roman"/>
                <w:sz w:val="24"/>
                <w:szCs w:val="24"/>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Підпрограма/завдання </w:t>
              <w:br/>
              <w:t>бюджетної програми</w:t>
            </w:r>
            <w:r>
              <w:rPr>
                <w:rFonts w:cs="Times New Roman" w:ascii="Times New Roman" w:hAnsi="Times New Roman"/>
                <w:sz w:val="24"/>
                <w:szCs w:val="24"/>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Загальний</w:t>
            </w:r>
          </w:p>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фонд</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Спеціальний фонд</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5</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6</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4"/>
                <w:szCs w:val="24"/>
              </w:rPr>
            </w:pPr>
            <w:r>
              <w:rPr>
                <w:rFonts w:cs="Times New Roman" w:ascii="Times New Roman" w:hAnsi="Times New Roman"/>
                <w:sz w:val="24"/>
                <w:szCs w:val="24"/>
              </w:rPr>
              <w:t>Підпрограма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1116084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1060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4"/>
                <w:szCs w:val="24"/>
              </w:rPr>
            </w:pPr>
            <w:r>
              <w:rPr>
                <w:rFonts w:cs="Times New Roman" w:ascii="Times New Roman" w:hAnsi="Times New Roman"/>
                <w:sz w:val="24"/>
                <w:szCs w:val="24"/>
              </w:rP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10,920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color w:val="000000"/>
                <w:sz w:val="24"/>
                <w:szCs w:val="24"/>
                <w:lang w:val="ru-RU"/>
              </w:rPr>
              <w:t>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10,920</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b/>
                <w:b/>
                <w:sz w:val="24"/>
                <w:szCs w:val="24"/>
              </w:rPr>
            </w:pPr>
            <w:r>
              <w:rPr>
                <w:rFonts w:cs="Times New Roman" w:ascii="Times New Roman" w:hAnsi="Times New Roman"/>
                <w:b/>
                <w:sz w:val="24"/>
                <w:szCs w:val="24"/>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rPr>
              <w:t>10,920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lang w:val="ru-RU"/>
              </w:rPr>
              <w:t>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rPr>
              <w:t>10,920</w:t>
            </w:r>
          </w:p>
        </w:tc>
      </w:tr>
    </w:tbl>
    <w:p>
      <w:pPr>
        <w:pStyle w:val="Normal"/>
        <w:ind w:firstLine="357"/>
        <w:rPr>
          <w:rFonts w:ascii="Times New Roman" w:hAnsi="Times New Roman" w:cs="Times New Roman"/>
          <w:sz w:val="24"/>
          <w:szCs w:val="24"/>
        </w:rPr>
      </w:pPr>
      <w:r>
        <w:rPr>
          <w:rFonts w:cs="Times New Roman" w:ascii="Times New Roman" w:hAnsi="Times New Roman"/>
          <w:sz w:val="24"/>
          <w:szCs w:val="24"/>
        </w:rPr>
      </w:r>
    </w:p>
    <w:p>
      <w:pPr>
        <w:pStyle w:val="Normal"/>
        <w:ind w:firstLine="357"/>
        <w:rPr>
          <w:rFonts w:ascii="Times New Roman" w:hAnsi="Times New Roman" w:cs="Times New Roman"/>
          <w:sz w:val="24"/>
          <w:szCs w:val="24"/>
        </w:rPr>
      </w:pPr>
      <w:r>
        <w:rPr>
          <w:rFonts w:cs="Times New Roman" w:ascii="Times New Roman" w:hAnsi="Times New Roman"/>
          <w:sz w:val="24"/>
          <w:szCs w:val="24"/>
        </w:rPr>
      </w:r>
    </w:p>
    <w:p>
      <w:pPr>
        <w:pStyle w:val="Normal"/>
        <w:ind w:firstLine="357"/>
        <w:rPr>
          <w:rFonts w:ascii="Times New Roman" w:hAnsi="Times New Roman" w:cs="Times New Roman"/>
          <w:sz w:val="24"/>
          <w:szCs w:val="24"/>
        </w:rPr>
      </w:pPr>
      <w:r>
        <w:rPr>
          <w:rFonts w:cs="Times New Roman" w:ascii="Times New Roman" w:hAnsi="Times New Roman"/>
          <w:sz w:val="24"/>
          <w:szCs w:val="24"/>
        </w:rPr>
        <w:t xml:space="preserve">9. Перелік регіональних цільових програм, які виконуються у складі бюджетної програми        (тис. грн) </w:t>
      </w:r>
    </w:p>
    <w:p>
      <w:pPr>
        <w:pStyle w:val="Normal"/>
        <w:ind w:firstLine="357"/>
        <w:rPr>
          <w:rFonts w:ascii="Times New Roman" w:hAnsi="Times New Roman" w:cs="Times New Roman"/>
          <w:sz w:val="24"/>
          <w:szCs w:val="24"/>
        </w:rPr>
      </w:pPr>
      <w:r>
        <w:rPr>
          <w:rFonts w:cs="Times New Roman" w:ascii="Times New Roman" w:hAnsi="Times New Roman"/>
          <w:sz w:val="24"/>
          <w:szCs w:val="24"/>
        </w:rPr>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Загальний</w:t>
            </w:r>
          </w:p>
          <w:p>
            <w:pPr>
              <w:pStyle w:val="Normal"/>
              <w:jc w:val="center"/>
              <w:rPr>
                <w:rFonts w:ascii="Times New Roman" w:hAnsi="Times New Roman" w:cs="Times New Roman"/>
                <w:sz w:val="24"/>
                <w:szCs w:val="24"/>
              </w:rPr>
            </w:pPr>
            <w:r>
              <w:rPr>
                <w:rFonts w:cs="Times New Roman" w:ascii="Times New Roman" w:hAnsi="Times New Roman"/>
                <w:sz w:val="24"/>
                <w:szCs w:val="24"/>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sz w:val="24"/>
                <w:szCs w:val="24"/>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1116080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10,920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0</w:t>
            </w:r>
          </w:p>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10,920</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10,920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10,920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10. Результативні показники бюджетної програми у розрізі підпрограм і завдань</w:t>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1109"/>
        <w:gridCol w:w="8259"/>
        <w:gridCol w:w="1541"/>
        <w:gridCol w:w="1958"/>
        <w:gridCol w:w="1217"/>
      </w:tblGrid>
      <w:tr>
        <w:trPr>
          <w:trHeight w:val="694"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з/п</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КПКВК</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22" w:right="-80" w:hanging="0"/>
              <w:jc w:val="center"/>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4"/>
                <w:szCs w:val="24"/>
              </w:rPr>
            </w:pPr>
            <w:r>
              <w:rPr>
                <w:rFonts w:cs="Times New Roman" w:ascii="Times New Roman" w:hAnsi="Times New Roman"/>
                <w:sz w:val="24"/>
                <w:szCs w:val="24"/>
              </w:rPr>
              <w:t>Підпрограма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89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1116080</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Завдання </w:t>
            </w:r>
          </w:p>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Здійснення виплат, пов'язаних з наданням та обслуговуванням пільгових довгострокових кредитів, наданих на будівництво (придбання) житла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bCs/>
                <w:sz w:val="24"/>
                <w:szCs w:val="24"/>
              </w:rPr>
            </w:pPr>
            <w:r>
              <w:rPr>
                <w:rFonts w:cs="Times New Roman" w:ascii="Times New Roman" w:hAnsi="Times New Roman"/>
                <w:color w:val="000000"/>
                <w:sz w:val="24"/>
                <w:szCs w:val="24"/>
                <w:lang w:eastAsia="uk-UA"/>
              </w:rPr>
              <w:t>кількість громадян, які перебувають на обліку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звіт про рейтинг</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499</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ascii="Times New Roman" w:hAnsi="Times New Roman"/>
                <w:color w:val="000000"/>
                <w:sz w:val="24"/>
                <w:szCs w:val="24"/>
                <w:lang w:eastAsia="uk-UA"/>
              </w:rPr>
              <w:t>кількість укладених договорів, за якими погашають відсотки</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звіт</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color w:val="000000"/>
                <w:sz w:val="24"/>
                <w:szCs w:val="24"/>
                <w:lang w:eastAsia="uk-UA"/>
              </w:rPr>
              <w:t>кількість укладених договорів, за якими планується здійснювати обслуговування кредитів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звіт</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4"/>
                <w:szCs w:val="24"/>
                <w:highlight w:val="yellow"/>
              </w:rPr>
            </w:pPr>
            <w:r>
              <w:rPr>
                <w:rFonts w:cs="Times New Roman" w:ascii="Times New Roman" w:hAnsi="Times New Roman"/>
                <w:color w:val="000000"/>
                <w:sz w:val="24"/>
                <w:szCs w:val="24"/>
                <w:lang w:eastAsia="uk-UA"/>
              </w:rPr>
              <w:t>середні витрати на обслуговування одного кредитного договору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4"/>
                <w:szCs w:val="24"/>
              </w:rPr>
            </w:pPr>
            <w:r>
              <w:rPr>
                <w:rFonts w:cs="Times New Roman" w:ascii="Times New Roman" w:hAnsi="Times New Roman"/>
                <w:bCs/>
                <w:sz w:val="24"/>
                <w:szCs w:val="24"/>
              </w:rPr>
              <w:t>тис.грн.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2,5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color w:val="000000"/>
                <w:sz w:val="24"/>
                <w:szCs w:val="24"/>
                <w:lang w:eastAsia="uk-UA"/>
              </w:rPr>
            </w:pPr>
            <w:r>
              <w:rPr>
                <w:rFonts w:cs="Times New Roman" w:ascii="Times New Roman" w:hAnsi="Times New Roman"/>
                <w:b/>
                <w:color w:val="000000"/>
                <w:sz w:val="24"/>
                <w:szCs w:val="24"/>
                <w:lang w:eastAsia="uk-UA"/>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4"/>
                <w:szCs w:val="24"/>
              </w:rPr>
            </w:pPr>
            <w:r>
              <w:rPr>
                <w:rFonts w:cs="Times New Roman" w:ascii="Times New Roman" w:hAnsi="Times New Roman"/>
                <w:bCs/>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динаміка росту коштів, наданих для кредитування громадян на будівництво (реконструкцію) та придбання житла  порівняно з попереднім роком</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4"/>
                <w:szCs w:val="24"/>
              </w:rPr>
            </w:pPr>
            <w:r>
              <w:rPr>
                <w:rFonts w:cs="Times New Roman" w:ascii="Times New Roman" w:hAnsi="Times New Roman"/>
                <w:bCs/>
                <w:sz w:val="24"/>
                <w:szCs w:val="24"/>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728</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0"/>
              </w:rPr>
            </w:pPr>
            <w:r>
              <w:rPr>
                <w:rFonts w:cs="Times New Roman" w:ascii="Times New Roman" w:hAnsi="Times New Roman"/>
                <w:sz w:val="20"/>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vertAlign w:val="superscript"/>
              </w:rPr>
            </w:pPr>
            <w:r>
              <w:rPr>
                <w:rFonts w:cs="Times New Roman" w:ascii="Times New Roman" w:hAnsi="Times New Roman"/>
                <w:sz w:val="20"/>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Прогноз видатків до кінця реалізації інвестиційного проекту</w:t>
            </w:r>
            <w:r>
              <w:rPr>
                <w:rFonts w:cs="Times New Roman" w:ascii="Times New Roman" w:hAnsi="Times New Roman"/>
                <w:sz w:val="20"/>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295"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szCs w:val="22"/>
              </w:rPr>
            </w:pPr>
            <w:r>
              <w:rPr>
                <w:rFonts w:cs="Times New Roman" w:ascii="Times New Roman" w:hAnsi="Times New Roman"/>
                <w:sz w:val="20"/>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83"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Усього</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pPr>
      <w:r>
        <w:rPr>
          <w:rFonts w:cs="Times New Roman" w:ascii="Times New Roman" w:hAnsi="Times New Roman"/>
          <w:sz w:val="14"/>
          <w:szCs w:val="14"/>
          <w:vertAlign w:val="superscript"/>
        </w:rPr>
        <w:t>1</w:t>
      </w:r>
      <w:r>
        <w:rPr>
          <w:rFonts w:cs="Times New Roman" w:ascii="Times New Roman" w:hAnsi="Times New Roman"/>
          <w:sz w:val="14"/>
          <w:szCs w:val="14"/>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14"/>
          <w:szCs w:val="14"/>
          <w:vertAlign w:val="superscript"/>
        </w:rPr>
        <w:t>2</w:t>
      </w:r>
      <w:r>
        <w:rPr>
          <w:rFonts w:cs="Times New Roman" w:ascii="Times New Roman" w:hAnsi="Times New Roman"/>
          <w:sz w:val="14"/>
          <w:szCs w:val="14"/>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14"/>
          <w:szCs w:val="14"/>
          <w:vertAlign w:val="superscript"/>
        </w:rPr>
        <w:t>3</w:t>
      </w:r>
      <w:r>
        <w:rPr>
          <w:rFonts w:cs="Times New Roman" w:ascii="Times New Roman" w:hAnsi="Times New Roman"/>
          <w:sz w:val="14"/>
          <w:szCs w:val="14"/>
        </w:rPr>
        <w:t xml:space="preserve"> Прогноз видатків до кінця реалізації інвестиційного проекту зазначається з розбивкою за роками.</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 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2"/>
          <w:szCs w:val="22"/>
        </w:rPr>
      </w:pPr>
      <w:r>
        <w:rPr>
          <w:rFonts w:cs="Times New Roman" w:ascii="Times New Roman" w:hAnsi="Times New Roman"/>
          <w:sz w:val="22"/>
          <w:szCs w:val="22"/>
        </w:rPr>
      </w:r>
    </w:p>
    <w:sectPr>
      <w:type w:val="nextPage"/>
      <w:pgSz w:orient="landscape" w:w="16838" w:h="11906"/>
      <w:pgMar w:left="1134" w:right="1134" w:header="0" w:top="360"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Times New Roman"/>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73">
    <w:name w:val=" Знак Знак Знак"/>
    <w:basedOn w:val="Normal"/>
    <w:qFormat/>
    <w:pPr/>
    <w:rPr>
      <w:rFonts w:cs="Arial"/>
      <w:sz w:val="22"/>
      <w:szCs w:val="22"/>
      <w:lang w:val="en-AU"/>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5</Pages>
  <Words>600</Words>
  <Characters>4039</Characters>
  <CharactersWithSpaces>4930</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2018-02-05T12:05:00Z</dcterms:created>
  <dc:creator>georgina</dc:creator>
  <dc:description/>
  <dc:language>uk-UA</dc:language>
  <cp:lastModifiedBy>T_Pashynska</cp:lastModifiedBy>
  <cp:lastPrinted>2018-02-02T13:55:00Z</cp:lastPrinted>
  <dcterms:modified xsi:type="dcterms:W3CDTF">2018-02-05T12:05:00Z</dcterms:modified>
  <cp:revision>2</cp:revision>
  <dc:subject/>
  <dc:title>ЗАТВЕРДЖЕНО</dc:title>
</cp:coreProperties>
</file>